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OMV_2026077210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10 juli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CCD44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