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OMV_2025099134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17 maart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7F2209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