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OMV_2025084921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30 juli 2025</w:t>
            </w:r>
          </w:p>
        </w:tc>
      </w:tr>
    </w:tbl>
    <w:p w:rsidR="007D570D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734A11" w:rsidRPr="0054211A" w:rsidP="007D570D" w14:paraId="4508E977" w14:textId="77777777">
      <w:pPr>
        <w:rPr>
          <w:sz w:val="21"/>
          <w:szCs w:val="21"/>
        </w:rPr>
      </w:pPr>
    </w:p>
    <w:p w:rsidR="00546EDC" w:rsidRPr="0054211A" w:rsidP="00546EDC" w14:paraId="655B193E" w14:textId="6B2A609B">
      <w:pPr>
        <w:rPr>
          <w:sz w:val="21"/>
          <w:szCs w:val="21"/>
        </w:rPr>
      </w:pPr>
    </w:p>
    <w:p w:rsidR="00546EDC" w:rsidRPr="00FF2BB5" w:rsidP="00F318B8" w14:paraId="72E44799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B43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A3028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 w16cid:durableId="1520849536">
    <w:abstractNumId w:val="4"/>
  </w:num>
  <w:num w:numId="8" w16cid:durableId="175893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34A11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318B8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