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000000" w:rsidRPr="005352D2" w:rsidP="005352D2" w14:paraId="52499322" w14:textId="77777777">
      <w:pPr>
        <w:tabs>
          <w:tab w:val="right" w:pos="9356"/>
        </w:tabs>
        <w:ind w:right="-2"/>
        <w:rPr>
          <w:rFonts w:cs="Calibri"/>
          <w:sz w:val="28"/>
          <w:szCs w:val="28"/>
          <w:lang w:eastAsia="nl-NL"/>
        </w:rPr>
      </w:pPr>
      <w:r w:rsidRPr="005352D2">
        <w:rPr>
          <w:rFonts w:cs="Calibri"/>
          <w:sz w:val="28"/>
          <w:szCs w:val="28"/>
          <w:lang w:eastAsia="nl-NL"/>
        </w:rPr>
        <w:t>DEPARTEMENT STEDELIJKE ONTWIKKELING</w:t>
      </w:r>
      <w:r w:rsidRPr="005352D2">
        <w:rPr>
          <w:rFonts w:cs="Calibri"/>
          <w:sz w:val="28"/>
          <w:szCs w:val="28"/>
          <w:lang w:eastAsia="nl-NL"/>
        </w:rPr>
        <w:tab/>
      </w:r>
      <w:r w:rsidRPr="005352D2">
        <w:rPr>
          <w:rFonts w:cs="Calibri"/>
          <w:sz w:val="44"/>
          <w:szCs w:val="28"/>
          <w:lang w:eastAsia="nl-NL"/>
        </w:rPr>
        <w:t>STAD GENT</w:t>
      </w:r>
    </w:p>
    <w:p w:rsidR="00000000" w:rsidRPr="002E7876" w:rsidP="005352D2" w14:paraId="351B497F" w14:textId="77777777">
      <w:pPr>
        <w:ind w:right="-425"/>
        <w:jc w:val="center"/>
        <w:rPr>
          <w:rFonts w:cs="Calibri"/>
          <w:b/>
          <w:sz w:val="28"/>
          <w:szCs w:val="28"/>
          <w:lang w:eastAsia="nl-NL"/>
        </w:rPr>
      </w:pPr>
      <w:r w:rsidRPr="002E7876">
        <w:rPr>
          <w:rFonts w:cs="Calibri"/>
          <w:b/>
          <w:sz w:val="28"/>
          <w:szCs w:val="28"/>
          <w:lang w:eastAsia="nl-NL"/>
        </w:rPr>
        <w:t xml:space="preserve">BEKENDMAKING </w:t>
      </w:r>
      <w:r w:rsidRPr="002E7876">
        <w:rPr>
          <w:rFonts w:cs="Calibri"/>
          <w:b/>
          <w:sz w:val="28"/>
          <w:szCs w:val="28"/>
          <w:lang w:eastAsia="nl-NL"/>
        </w:rPr>
        <w:t>BESLISSING OMGEVINGSVERGUNNINGSAANVRAAG</w:t>
      </w:r>
    </w:p>
    <w:p w:rsidR="00000000" w:rsidRPr="00C06214" w:rsidP="005352D2" w14:paraId="72DF69AC" w14:textId="0B35C1F9">
      <w:pPr>
        <w:tabs>
          <w:tab w:val="left" w:pos="324"/>
        </w:tabs>
        <w:overflowPunct w:val="0"/>
        <w:autoSpaceDE w:val="0"/>
        <w:autoSpaceDN w:val="0"/>
        <w:adjustRightInd w:val="0"/>
        <w:ind w:right="-425"/>
        <w:jc w:val="center"/>
        <w:textAlignment w:val="baseline"/>
        <w:rPr>
          <w:sz w:val="16"/>
        </w:rPr>
      </w:pPr>
      <w:r>
        <w:rPr>
          <w:rFonts w:cs="Calibri"/>
          <w:b/>
          <w:sz w:val="28"/>
          <w:szCs w:val="28"/>
          <w:lang w:eastAsia="nl-NL"/>
        </w:rPr>
        <w:t>v</w:t>
      </w:r>
      <w:r w:rsidRPr="00F830A8">
        <w:rPr>
          <w:rFonts w:cs="Calibri"/>
          <w:b/>
          <w:sz w:val="28"/>
          <w:szCs w:val="28"/>
          <w:lang w:eastAsia="nl-NL"/>
        </w:rPr>
        <w:t>oor</w:t>
      </w:r>
      <w:r>
        <w:rPr>
          <w:rFonts w:cs="Calibri"/>
          <w:b/>
          <w:sz w:val="28"/>
          <w:szCs w:val="28"/>
          <w:lang w:eastAsia="nl-NL"/>
        </w:rPr>
        <w:t xml:space="preserve"> </w:t>
      </w:r>
      <w:r w:rsidRPr="00986C0B">
        <w:rPr>
          <w:rFonts w:cs="Arial"/>
          <w:b/>
          <w:color w:val="232323"/>
          <w:sz w:val="28"/>
          <w:szCs w:val="28"/>
          <w:lang w:val="nl-NL"/>
        </w:rPr>
        <w:t>STEDENBOUWKUNDIGE</w:t>
      </w:r>
      <w:r w:rsidRPr="00986C0B">
        <w:rPr>
          <w:rFonts w:cs="Lucida Sans Unicode"/>
          <w:b/>
          <w:color w:val="232323"/>
          <w:sz w:val="28"/>
          <w:szCs w:val="28"/>
          <w:lang w:val="nl-NL"/>
        </w:rPr>
        <w:t xml:space="preserve"> </w:t>
      </w:r>
      <w:r w:rsidRPr="00986C0B">
        <w:rPr>
          <w:rFonts w:cs="Arial"/>
          <w:b/>
          <w:color w:val="232323"/>
          <w:sz w:val="28"/>
          <w:szCs w:val="28"/>
          <w:lang w:val="nl-NL"/>
        </w:rPr>
        <w:t>HANDELINGEN</w:t>
      </w:r>
      <w:r w:rsidRPr="004865EE">
        <w:rPr>
          <w:b/>
          <w:sz w:val="28"/>
          <w:szCs w:val="28"/>
        </w:rPr>
        <w:t xml:space="preserve"> EN </w:t>
      </w:r>
      <w:r w:rsidRPr="004865EE">
        <w:rPr>
          <w:b/>
          <w:sz w:val="28"/>
          <w:szCs w:val="28"/>
        </w:rPr>
        <w:t>DE EXPLOITATIE VAN INGEDEELDE INRICHTINGEN</w:t>
      </w:r>
    </w:p>
    <w:tbl>
      <w:tblPr>
        <w:tblW w:w="9498" w:type="dxa"/>
        <w:tblInd w:w="70" w:type="dxa"/>
        <w:tblLayout w:type="fixed"/>
        <w:tblCellMar>
          <w:left w:w="70" w:type="dxa"/>
          <w:right w:w="70" w:type="dxa"/>
        </w:tblCellMar>
        <w:tblLook w:val="0000"/>
      </w:tblPr>
      <w:tblGrid>
        <w:gridCol w:w="2835"/>
        <w:gridCol w:w="6663"/>
      </w:tblGrid>
      <w:tr w14:paraId="2BCC959A"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5B54F9" w14:paraId="7FE5D1D5" w14:textId="77777777">
            <w:pPr>
              <w:ind w:right="-425"/>
              <w:rPr>
                <w:rFonts w:cs="Calibri"/>
                <w:b/>
                <w:szCs w:val="20"/>
              </w:rPr>
            </w:pPr>
            <w:r w:rsidRPr="00394AD0">
              <w:rPr>
                <w:rFonts w:cs="Calibri"/>
                <w:b/>
                <w:szCs w:val="20"/>
              </w:rPr>
              <w:t>Dossiernummer</w:t>
            </w:r>
          </w:p>
        </w:tc>
        <w:tc>
          <w:tcPr>
            <w:tcW w:w="6663" w:type="dxa"/>
          </w:tcPr>
          <w:p w:rsidR="00000000" w:rsidRPr="00394AD0" w:rsidP="005B54F9" w14:paraId="2EAFDD61" w14:textId="77777777">
            <w:pPr>
              <w:ind w:right="-425"/>
              <w:rPr>
                <w:rFonts w:cs="Calibri"/>
                <w:bCs/>
                <w:szCs w:val="20"/>
              </w:rPr>
            </w:pPr>
            <w:r w:rsidRPr="00394AD0">
              <w:rPr>
                <w:szCs w:val="20"/>
              </w:rPr>
              <w:t>OMV_2025036876</w:t>
            </w:r>
          </w:p>
        </w:tc>
      </w:tr>
      <w:tr w14:paraId="7EAA3B28"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5B54F9" w14:paraId="6293F3BC" w14:textId="77777777">
            <w:pPr>
              <w:ind w:right="-425"/>
              <w:rPr>
                <w:rFonts w:cs="Calibri"/>
                <w:b/>
                <w:szCs w:val="20"/>
              </w:rPr>
            </w:pPr>
            <w:r w:rsidRPr="00394AD0">
              <w:rPr>
                <w:rFonts w:cs="Calibri"/>
                <w:b/>
                <w:szCs w:val="20"/>
              </w:rPr>
              <w:t>Onderwerp</w:t>
            </w:r>
          </w:p>
        </w:tc>
        <w:tc>
          <w:tcPr>
            <w:tcW w:w="6663" w:type="dxa"/>
          </w:tcPr>
          <w:p w:rsidR="00000000" w:rsidRPr="00394AD0" w:rsidP="00487EC1" w14:paraId="60FA5560" w14:textId="77777777">
            <w:pPr>
              <w:rPr>
                <w:szCs w:val="20"/>
              </w:rPr>
            </w:pPr>
            <w:r w:rsidRPr="00394AD0">
              <w:rPr>
                <w:szCs w:val="20"/>
              </w:rPr>
              <w:t>IVAGO aanvraag oxidatieve gaswassing</w:t>
            </w:r>
          </w:p>
        </w:tc>
      </w:tr>
      <w:tr w14:paraId="69F78BA9" w14:textId="77777777" w:rsidTr="00BF3119">
        <w:tblPrEx>
          <w:tblW w:w="9498" w:type="dxa"/>
          <w:tblInd w:w="70" w:type="dxa"/>
          <w:tblLayout w:type="fixed"/>
          <w:tblCellMar>
            <w:left w:w="70" w:type="dxa"/>
            <w:right w:w="70" w:type="dxa"/>
          </w:tblCellMar>
          <w:tblLook w:val="0000"/>
        </w:tblPrEx>
        <w:tc>
          <w:tcPr>
            <w:tcW w:w="9498" w:type="dxa"/>
            <w:gridSpan w:val="2"/>
          </w:tcPr>
          <w:p w:rsidR="00000000" w:rsidRPr="00394AD0" w:rsidP="005B54F9" w14:paraId="63AC7453" w14:textId="77777777">
            <w:pPr>
              <w:ind w:right="-425"/>
              <w:rPr>
                <w:szCs w:val="20"/>
              </w:rPr>
            </w:pPr>
            <w:r w:rsidRPr="00394AD0">
              <w:rPr>
                <w:rFonts w:cs="Calibri"/>
                <w:b/>
                <w:szCs w:val="20"/>
              </w:rPr>
              <w:t>Gegevens over de aanvrager/exploitant</w:t>
            </w:r>
          </w:p>
        </w:tc>
      </w:tr>
      <w:tr w14:paraId="6056E1DB"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58B5C7BB" w14:textId="77777777">
            <w:pPr>
              <w:ind w:right="-425"/>
              <w:rPr>
                <w:rFonts w:cs="Calibri"/>
                <w:szCs w:val="20"/>
              </w:rPr>
            </w:pPr>
            <w:r w:rsidRPr="00394AD0">
              <w:rPr>
                <w:rFonts w:cs="Calibri"/>
                <w:szCs w:val="20"/>
              </w:rPr>
              <w:t>Naam</w:t>
            </w:r>
          </w:p>
        </w:tc>
        <w:tc>
          <w:tcPr>
            <w:tcW w:w="6663" w:type="dxa"/>
          </w:tcPr>
          <w:p w:rsidR="00A77B3E" w:rsidRPr="00B02895">
            <w:pPr>
              <w:rPr>
                <w:b/>
              </w:rPr>
            </w:pPr>
            <w:r w:rsidRPr="00B02895">
              <w:rPr>
                <w:b/>
              </w:rPr>
              <w:t>de heer</w:t>
            </w:r>
            <w:r w:rsidRPr="00B02895">
              <w:rPr>
                <w:b/>
              </w:rPr>
              <w:t xml:space="preserve"> </w:t>
            </w:r>
            <w:r w:rsidRPr="00B02895">
              <w:rPr>
                <w:b/>
              </w:rPr>
              <w:t>Didier Naessens</w:t>
            </w:r>
            <w:r w:rsidRPr="00B02895">
              <w:rPr>
                <w:b/>
              </w:rPr>
              <w:t xml:space="preserve">, </w:t>
            </w:r>
            <w:r w:rsidRPr="00B02895">
              <w:rPr>
                <w:b/>
              </w:rPr>
              <w:t>Intergemeentelijke Vereniging voor Afvalbeheer in Gent en Omstreken</w:t>
            </w:r>
            <w:r w:rsidRPr="00B02895">
              <w:rPr>
                <w:b/>
              </w:rPr>
              <w:t xml:space="preserve"> </w:t>
            </w:r>
            <w:r w:rsidRPr="00B02895">
              <w:rPr>
                <w:b/>
              </w:rPr>
              <w:t>OPDRAVER</w:t>
            </w:r>
            <w:r w:rsidRPr="00B02895">
              <w:rPr>
                <w:b/>
              </w:rPr>
              <w:t xml:space="preserve"> en </w:t>
            </w:r>
            <w:r w:rsidRPr="00B02895">
              <w:rPr>
                <w:b/>
              </w:rPr>
              <w:t>mevrouw</w:t>
            </w:r>
            <w:r w:rsidRPr="00B02895">
              <w:rPr>
                <w:b/>
              </w:rPr>
              <w:t xml:space="preserve"> </w:t>
            </w:r>
            <w:r w:rsidRPr="00B02895">
              <w:rPr>
                <w:b/>
              </w:rPr>
              <w:t>stephanie De Wulf</w:t>
            </w:r>
          </w:p>
        </w:tc>
      </w:tr>
      <w:tr w14:paraId="7F6A6337"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00237331" w14:textId="77777777">
            <w:pPr>
              <w:ind w:right="-425"/>
              <w:rPr>
                <w:rFonts w:cs="Calibri"/>
                <w:b/>
                <w:szCs w:val="20"/>
              </w:rPr>
            </w:pPr>
            <w:r w:rsidRPr="00394AD0">
              <w:rPr>
                <w:rFonts w:cs="Calibri"/>
                <w:b/>
                <w:szCs w:val="20"/>
              </w:rPr>
              <w:t>Gegevens over de ligging</w:t>
            </w:r>
          </w:p>
        </w:tc>
        <w:tc>
          <w:tcPr>
            <w:tcW w:w="6663" w:type="dxa"/>
          </w:tcPr>
          <w:p w:rsidR="00000000" w:rsidRPr="00D558BC" w:rsidP="008D4D22" w14:paraId="6B06D01A" w14:textId="77777777">
            <w:pPr>
              <w:ind w:right="-425"/>
              <w:rPr>
                <w:sz w:val="28"/>
                <w:szCs w:val="28"/>
              </w:rPr>
            </w:pPr>
          </w:p>
        </w:tc>
      </w:tr>
      <w:tr w14:paraId="36C0DABB"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2F6D2141" w14:textId="77777777">
            <w:pPr>
              <w:ind w:right="-425"/>
              <w:rPr>
                <w:rFonts w:cs="Calibri"/>
                <w:szCs w:val="20"/>
              </w:rPr>
            </w:pPr>
            <w:r w:rsidRPr="00394AD0">
              <w:rPr>
                <w:rFonts w:cs="Calibri"/>
                <w:szCs w:val="20"/>
              </w:rPr>
              <w:t>Adres</w:t>
            </w:r>
          </w:p>
        </w:tc>
        <w:tc>
          <w:tcPr>
            <w:tcW w:w="6663" w:type="dxa"/>
          </w:tcPr>
          <w:p w:rsidR="00A77B3E" w:rsidRPr="00645C5F" w:rsidP="00645C5F">
            <w:pPr>
              <w:rPr>
                <w:b/>
              </w:rPr>
            </w:pPr>
            <w:r w:rsidRPr="00645C5F">
              <w:rPr>
                <w:b/>
              </w:rPr>
              <w:t>Proeftuinstraat</w:t>
            </w:r>
            <w:r w:rsidRPr="00645C5F">
              <w:rPr>
                <w:b/>
              </w:rPr>
              <w:t xml:space="preserve"> </w:t>
            </w:r>
            <w:r w:rsidRPr="00645C5F">
              <w:rPr>
                <w:b/>
              </w:rPr>
              <w:t>43</w:t>
            </w:r>
            <w:r w:rsidRPr="00645C5F">
              <w:rPr>
                <w:b/>
              </w:rPr>
              <w:t xml:space="preserve">, </w:t>
            </w:r>
            <w:r w:rsidRPr="00645C5F">
              <w:rPr>
                <w:b/>
              </w:rPr>
              <w:t xml:space="preserve"> </w:t>
            </w:r>
          </w:p>
        </w:tc>
      </w:tr>
      <w:tr w14:paraId="59D607C5"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D4D22" w14:paraId="1F94117A" w14:textId="77777777">
            <w:pPr>
              <w:ind w:right="-425"/>
              <w:rPr>
                <w:rFonts w:cs="Calibri"/>
                <w:szCs w:val="20"/>
              </w:rPr>
            </w:pPr>
            <w:r w:rsidRPr="00394AD0">
              <w:rPr>
                <w:rFonts w:cs="Calibri"/>
                <w:szCs w:val="20"/>
              </w:rPr>
              <w:t>Kadastrale gegevens</w:t>
            </w:r>
          </w:p>
        </w:tc>
        <w:tc>
          <w:tcPr>
            <w:tcW w:w="6663" w:type="dxa"/>
          </w:tcPr>
          <w:p w:rsidR="00A77B3E" w:rsidRPr="00F61E65">
            <w:pPr>
              <w:rPr>
                <w:b/>
              </w:rPr>
            </w:pPr>
            <w:r w:rsidRPr="00F61E65">
              <w:rPr>
                <w:b/>
              </w:rPr>
              <w:t>(afd. 8) sectie H 386 T</w:t>
            </w:r>
            <w:r w:rsidRPr="00F61E65">
              <w:rPr>
                <w:b/>
              </w:rPr>
              <w:t xml:space="preserve">, </w:t>
            </w:r>
            <w:r w:rsidRPr="00F61E65">
              <w:rPr>
                <w:b/>
              </w:rPr>
              <w:t>(afd. 8) sectie H 386 Z</w:t>
            </w:r>
            <w:r w:rsidRPr="00F61E65">
              <w:rPr>
                <w:b/>
              </w:rPr>
              <w:t xml:space="preserve">, </w:t>
            </w:r>
            <w:r w:rsidRPr="00F61E65">
              <w:rPr>
                <w:b/>
              </w:rPr>
              <w:t>(afd. 8) sectie H 386 P</w:t>
            </w:r>
            <w:r w:rsidRPr="00F61E65">
              <w:rPr>
                <w:b/>
              </w:rPr>
              <w:t xml:space="preserve">, </w:t>
            </w:r>
            <w:r w:rsidRPr="00F61E65">
              <w:rPr>
                <w:b/>
              </w:rPr>
              <w:t>(afd. 8) sectie H 386 V</w:t>
            </w:r>
            <w:r w:rsidRPr="00F61E65">
              <w:rPr>
                <w:b/>
              </w:rPr>
              <w:t xml:space="preserve">, </w:t>
            </w:r>
            <w:r w:rsidRPr="00F61E65">
              <w:rPr>
                <w:b/>
              </w:rPr>
              <w:t>(afd. 8) sectie H 386 W</w:t>
            </w:r>
            <w:r w:rsidRPr="00F61E65">
              <w:rPr>
                <w:b/>
              </w:rPr>
              <w:t xml:space="preserve">, </w:t>
            </w:r>
            <w:r w:rsidRPr="00F61E65">
              <w:rPr>
                <w:b/>
              </w:rPr>
              <w:t>(afd. 8) sectie H 386 X</w:t>
            </w:r>
            <w:r w:rsidRPr="00F61E65">
              <w:rPr>
                <w:b/>
              </w:rPr>
              <w:t xml:space="preserve">, </w:t>
            </w:r>
            <w:r w:rsidRPr="00F61E65">
              <w:rPr>
                <w:b/>
              </w:rPr>
              <w:t>(afd. 8) sectie H 386 B2</w:t>
            </w:r>
            <w:r w:rsidRPr="00F61E65">
              <w:rPr>
                <w:b/>
              </w:rPr>
              <w:t xml:space="preserve">, </w:t>
            </w:r>
            <w:r w:rsidRPr="00F61E65">
              <w:rPr>
                <w:b/>
              </w:rPr>
              <w:t>(afd. 8) sectie H 386 Y</w:t>
            </w:r>
            <w:r w:rsidRPr="00F61E65">
              <w:rPr>
                <w:b/>
              </w:rPr>
              <w:t xml:space="preserve"> en </w:t>
            </w:r>
            <w:r w:rsidRPr="00F61E65">
              <w:rPr>
                <w:b/>
              </w:rPr>
              <w:t>(afd. 8) sectie H 387 D</w:t>
            </w:r>
          </w:p>
        </w:tc>
      </w:tr>
      <w:tr w14:paraId="0F78C5B0"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22EC8" w14:paraId="02F503A9" w14:textId="77777777">
            <w:pPr>
              <w:ind w:right="-75"/>
              <w:rPr>
                <w:rFonts w:cs="Calibri"/>
                <w:b/>
                <w:szCs w:val="20"/>
              </w:rPr>
            </w:pPr>
          </w:p>
        </w:tc>
        <w:tc>
          <w:tcPr>
            <w:tcW w:w="6663" w:type="dxa"/>
          </w:tcPr>
          <w:p w:rsidR="00000000" w:rsidRPr="00D558BC" w:rsidP="008D4D22" w14:paraId="0C9A1DE0" w14:textId="77777777">
            <w:pPr>
              <w:rPr>
                <w:sz w:val="28"/>
                <w:szCs w:val="28"/>
              </w:rPr>
            </w:pPr>
          </w:p>
        </w:tc>
      </w:tr>
      <w:tr w14:paraId="3033F5F0" w14:textId="77777777" w:rsidTr="00A55CA2">
        <w:tblPrEx>
          <w:tblW w:w="9498" w:type="dxa"/>
          <w:tblInd w:w="70" w:type="dxa"/>
          <w:tblLayout w:type="fixed"/>
          <w:tblCellMar>
            <w:left w:w="70" w:type="dxa"/>
            <w:right w:w="70" w:type="dxa"/>
          </w:tblCellMar>
          <w:tblLook w:val="0000"/>
        </w:tblPrEx>
        <w:tc>
          <w:tcPr>
            <w:tcW w:w="2835" w:type="dxa"/>
          </w:tcPr>
          <w:p w:rsidR="00000000" w:rsidRPr="00394AD0" w:rsidP="00822EC8" w14:paraId="2744BAF6" w14:textId="77777777">
            <w:pPr>
              <w:rPr>
                <w:rFonts w:cs="Calibri"/>
                <w:b/>
                <w:szCs w:val="20"/>
              </w:rPr>
            </w:pPr>
            <w:r w:rsidRPr="00394AD0">
              <w:rPr>
                <w:rFonts w:cs="Calibri"/>
                <w:b/>
                <w:szCs w:val="20"/>
              </w:rPr>
              <w:t>Beslissing</w:t>
            </w:r>
          </w:p>
        </w:tc>
        <w:tc>
          <w:tcPr>
            <w:tcW w:w="6663" w:type="dxa"/>
          </w:tcPr>
          <w:p w:rsidR="00000000" w:rsidRPr="004D0DD4" w:rsidP="00822EC8" w14:paraId="12C52548" w14:textId="77777777">
            <w:pPr>
              <w:ind w:right="76"/>
              <w:rPr>
                <w:rFonts w:cs="Calibri"/>
                <w:bCs/>
                <w:sz w:val="21"/>
                <w:szCs w:val="21"/>
              </w:rPr>
            </w:pPr>
            <w:r w:rsidRPr="00944697">
              <w:rPr>
                <w:sz w:val="21"/>
                <w:szCs w:val="21"/>
              </w:rPr>
              <w:t>De Vlaamse overheid</w:t>
            </w:r>
            <w:r w:rsidRPr="00944697">
              <w:rPr>
                <w:sz w:val="21"/>
                <w:szCs w:val="21"/>
              </w:rPr>
              <w:t xml:space="preserve"> heeft op </w:t>
            </w:r>
            <w:r w:rsidRPr="00944697">
              <w:rPr>
                <w:sz w:val="21"/>
                <w:szCs w:val="21"/>
              </w:rPr>
              <w:t>27 oktober 2025</w:t>
            </w:r>
            <w:r w:rsidRPr="00944697">
              <w:rPr>
                <w:sz w:val="21"/>
                <w:szCs w:val="21"/>
              </w:rPr>
              <w:t xml:space="preserve"> de omgevingsvergunning </w:t>
            </w:r>
            <w:r w:rsidRPr="00944697">
              <w:rPr>
                <w:sz w:val="21"/>
                <w:szCs w:val="21"/>
              </w:rPr>
              <w:t>voorwaardelijk vergund</w:t>
            </w:r>
            <w:r w:rsidRPr="00944697">
              <w:rPr>
                <w:sz w:val="21"/>
                <w:szCs w:val="21"/>
              </w:rPr>
              <w:t>.</w:t>
            </w:r>
          </w:p>
        </w:tc>
      </w:tr>
      <w:tr w14:paraId="22B60093" w14:textId="77777777" w:rsidTr="00A55CA2">
        <w:tblPrEx>
          <w:tblW w:w="9498" w:type="dxa"/>
          <w:tblInd w:w="70" w:type="dxa"/>
          <w:tblLayout w:type="fixed"/>
          <w:tblCellMar>
            <w:left w:w="70" w:type="dxa"/>
            <w:right w:w="70" w:type="dxa"/>
          </w:tblCellMar>
          <w:tblLook w:val="0000"/>
        </w:tblPrEx>
        <w:tc>
          <w:tcPr>
            <w:tcW w:w="9498" w:type="dxa"/>
            <w:gridSpan w:val="2"/>
          </w:tcPr>
          <w:p w:rsidR="00000000" w:rsidRPr="00394AD0" w:rsidP="008D4D22" w14:paraId="546ED1EA" w14:textId="77777777">
            <w:pPr>
              <w:ind w:right="-425"/>
              <w:rPr>
                <w:rFonts w:cs="Calibri"/>
                <w:b/>
                <w:szCs w:val="20"/>
              </w:rPr>
            </w:pPr>
            <w:r w:rsidRPr="00394AD0">
              <w:rPr>
                <w:rFonts w:cs="Calibri"/>
                <w:b/>
                <w:szCs w:val="20"/>
              </w:rPr>
              <w:t xml:space="preserve">Inzage van de </w:t>
            </w:r>
            <w:r w:rsidRPr="00394AD0">
              <w:rPr>
                <w:rFonts w:cs="Calibri"/>
                <w:b/>
                <w:szCs w:val="20"/>
              </w:rPr>
              <w:t xml:space="preserve">beslissing </w:t>
            </w:r>
          </w:p>
          <w:p w:rsidR="00F0355B" w:rsidRPr="00AB0742" w:rsidP="00AB0742" w14:paraId="4A12350C" w14:textId="41F5258E">
            <w:pPr>
              <w:rPr>
                <w:sz w:val="21"/>
                <w:szCs w:val="21"/>
              </w:rPr>
            </w:pPr>
            <w:r w:rsidRPr="00AB0742">
              <w:rPr>
                <w:sz w:val="21"/>
                <w:szCs w:val="21"/>
              </w:rPr>
              <w:t>Je kan</w:t>
            </w:r>
            <w:r w:rsidRPr="00AB0742" w:rsidR="0052267D">
              <w:rPr>
                <w:sz w:val="21"/>
                <w:szCs w:val="21"/>
              </w:rPr>
              <w:t xml:space="preserve"> tijdens de bekendmaking tijdelijk de nodige dossierstukken digitaal inkijken. Ga naar </w:t>
            </w:r>
            <w:r w:rsidRPr="00AB0742" w:rsidR="00242762">
              <w:rPr>
                <w:sz w:val="21"/>
                <w:szCs w:val="21"/>
              </w:rPr>
              <w:br/>
            </w:r>
            <w:r w:rsidRPr="004F6723" w:rsidR="00AB0742">
              <w:rPr>
                <w:color w:val="1E0AB6"/>
                <w:sz w:val="21"/>
                <w:szCs w:val="21"/>
                <w:u w:val="single"/>
              </w:rPr>
              <w:t>https://omgevingsloketinzage.omgeving.vlaanderen.be</w:t>
            </w:r>
          </w:p>
          <w:p w:rsidR="00B817E3" w:rsidRPr="004A3E7A" w:rsidP="00D359ED" w14:paraId="47279A0B" w14:textId="170E67AC">
            <w:pPr>
              <w:rPr>
                <w:sz w:val="21"/>
                <w:szCs w:val="21"/>
              </w:rPr>
            </w:pPr>
            <w:r w:rsidRPr="006C00F3">
              <w:rPr>
                <w:sz w:val="21"/>
                <w:szCs w:val="21"/>
              </w:rPr>
              <w:t>Lukt dit niet digitaal, kan je langskomen bij de</w:t>
            </w:r>
            <w:r w:rsidR="00CC46B3">
              <w:rPr>
                <w:sz w:val="21"/>
                <w:szCs w:val="21"/>
              </w:rPr>
              <w:t xml:space="preserve"> </w:t>
            </w:r>
            <w:r>
              <w:rPr>
                <w:bCs/>
                <w:szCs w:val="21"/>
              </w:rPr>
              <w:t>Balie Bouwen</w:t>
            </w:r>
            <w:r w:rsidRPr="006C00F3">
              <w:rPr>
                <w:sz w:val="21"/>
                <w:szCs w:val="21"/>
              </w:rPr>
              <w:t xml:space="preserve">. Maak een afspraak via </w:t>
            </w:r>
            <w:r w:rsidRPr="006C00F3">
              <w:rPr>
                <w:sz w:val="21"/>
                <w:szCs w:val="21"/>
              </w:rPr>
              <w:t>stad.gent</w:t>
            </w:r>
            <w:r w:rsidRPr="006C00F3">
              <w:rPr>
                <w:sz w:val="21"/>
                <w:szCs w:val="21"/>
              </w:rPr>
              <w:t xml:space="preserve"> (zoeken op </w:t>
            </w:r>
            <w:r>
              <w:rPr>
                <w:bCs/>
                <w:szCs w:val="21"/>
              </w:rPr>
              <w:t>Balie Bouwen</w:t>
            </w:r>
            <w:r w:rsidRPr="006C00F3">
              <w:rPr>
                <w:sz w:val="21"/>
                <w:szCs w:val="21"/>
              </w:rPr>
              <w:t xml:space="preserve">), of via mail naar </w:t>
            </w:r>
            <w:r w:rsidRPr="0020166B">
              <w:rPr>
                <w:bCs/>
                <w:szCs w:val="21"/>
              </w:rPr>
              <w:t>bouwen@stad.gent</w:t>
            </w:r>
            <w:r w:rsidRPr="006C00F3">
              <w:rPr>
                <w:sz w:val="21"/>
                <w:szCs w:val="21"/>
              </w:rPr>
              <w:t xml:space="preserve"> of telefonisch: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6C00F3">
              <w:rPr>
                <w:sz w:val="21"/>
                <w:szCs w:val="21"/>
              </w:rPr>
              <w:t>.</w:t>
            </w:r>
          </w:p>
        </w:tc>
      </w:tr>
      <w:tr w14:paraId="39FA602E" w14:textId="77777777" w:rsidTr="00A55CA2">
        <w:tblPrEx>
          <w:tblW w:w="9498" w:type="dxa"/>
          <w:tblInd w:w="70" w:type="dxa"/>
          <w:tblLayout w:type="fixed"/>
          <w:tblCellMar>
            <w:left w:w="70" w:type="dxa"/>
            <w:right w:w="70" w:type="dxa"/>
          </w:tblCellMar>
          <w:tblLook w:val="0000"/>
        </w:tblPrEx>
        <w:tc>
          <w:tcPr>
            <w:tcW w:w="9498" w:type="dxa"/>
            <w:gridSpan w:val="2"/>
          </w:tcPr>
          <w:p w:rsidR="00000000" w:rsidRPr="00394AD0" w:rsidP="008D4D22" w14:paraId="3B40C55E" w14:textId="77777777">
            <w:pPr>
              <w:rPr>
                <w:rFonts w:cs="Calibri"/>
                <w:b/>
                <w:szCs w:val="20"/>
              </w:rPr>
            </w:pPr>
            <w:r w:rsidRPr="00394AD0">
              <w:rPr>
                <w:rFonts w:cs="Calibri"/>
                <w:b/>
                <w:szCs w:val="20"/>
              </w:rPr>
              <w:t>Beroepsmogelijkheden</w:t>
            </w:r>
          </w:p>
          <w:p w:rsidR="00000000" w:rsidRPr="00394AD0" w:rsidP="008D4D22" w14:paraId="3EE0894E" w14:textId="77777777">
            <w:pPr>
              <w:rPr>
                <w:szCs w:val="20"/>
                <w:lang w:val="nl-NL"/>
              </w:rPr>
            </w:pPr>
            <w:r w:rsidRPr="00394AD0">
              <w:rPr>
                <w:szCs w:val="20"/>
              </w:rPr>
              <w:t xml:space="preserve">Iedere belanghebbende </w:t>
            </w:r>
            <w:r w:rsidRPr="00394AD0">
              <w:rPr>
                <w:szCs w:val="20"/>
                <w:lang w:val="nl-NL"/>
              </w:rPr>
              <w:t xml:space="preserve">(die voldoet aan de voorwaarden van artikel 105 van het Omgevingsvergunningsdecreet) </w:t>
            </w:r>
            <w:r w:rsidRPr="00394AD0">
              <w:rPr>
                <w:szCs w:val="20"/>
              </w:rPr>
              <w:t xml:space="preserve">kan tegen deze vergunning beroep aantekenen. Dit moet gebeuren </w:t>
            </w:r>
            <w:r w:rsidRPr="00394AD0">
              <w:rPr>
                <w:szCs w:val="20"/>
                <w:u w:val="single"/>
              </w:rPr>
              <w:t xml:space="preserve">binnen </w:t>
            </w:r>
            <w:r w:rsidRPr="00394AD0">
              <w:rPr>
                <w:szCs w:val="20"/>
                <w:u w:val="single"/>
              </w:rPr>
              <w:t>45</w:t>
            </w:r>
            <w:r w:rsidRPr="00394AD0">
              <w:rPr>
                <w:szCs w:val="20"/>
                <w:u w:val="single"/>
                <w:lang w:val="nl-NL"/>
              </w:rPr>
              <w:t xml:space="preserve"> </w:t>
            </w:r>
            <w:r w:rsidRPr="00394AD0">
              <w:rPr>
                <w:szCs w:val="20"/>
                <w:u w:val="single"/>
              </w:rPr>
              <w:t>dagen</w:t>
            </w:r>
            <w:r w:rsidRPr="00394AD0">
              <w:rPr>
                <w:szCs w:val="20"/>
              </w:rPr>
              <w:t xml:space="preserve"> na de aanplakking.</w:t>
            </w:r>
          </w:p>
          <w:p w:rsidR="00E0273E" w:rsidP="008D4D22" w14:paraId="550D0D60" w14:textId="77777777">
            <w:pPr>
              <w:rPr>
                <w:szCs w:val="20"/>
                <w:lang w:val="nl-NL"/>
              </w:rPr>
            </w:pPr>
          </w:p>
          <w:p w:rsidR="00000000" w:rsidRPr="00F0759F" w:rsidP="008D4D22" w14:paraId="5CC6DF91" w14:textId="011D1DCE">
            <w:pPr>
              <w:rPr>
                <w:szCs w:val="20"/>
                <w:lang w:val="nl-NL"/>
              </w:rPr>
            </w:pPr>
            <w:r w:rsidRPr="00394AD0">
              <w:rPr>
                <w:szCs w:val="20"/>
                <w:lang w:val="nl-NL"/>
              </w:rPr>
              <w:t>T</w:t>
            </w:r>
            <w:r w:rsidRPr="00F0759F">
              <w:rPr>
                <w:szCs w:val="20"/>
                <w:lang w:val="nl-NL"/>
              </w:rPr>
              <w:t xml:space="preserve">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rsidR="00000000" w:rsidRPr="00F0759F" w:rsidP="008D4D22" w14:paraId="547BAA3F" w14:textId="02E5F84B">
            <w:pPr>
              <w:rPr>
                <w:szCs w:val="20"/>
              </w:rPr>
            </w:pPr>
            <w:r w:rsidRPr="00F0759F">
              <w:rPr>
                <w:szCs w:val="20"/>
                <w:lang w:val="nl-NL"/>
              </w:rPr>
              <w:t>-</w:t>
            </w:r>
            <w:r w:rsidRPr="00F0759F">
              <w:rPr>
                <w:szCs w:val="20"/>
              </w:rPr>
              <w:t>Raad voor Vergunningsbetwistingen, Koning Albert II-laan 35, 1030 Brussel</w:t>
            </w:r>
            <w:r w:rsidRPr="00394AD0">
              <w:rPr>
                <w:szCs w:val="20"/>
              </w:rPr>
              <w:t xml:space="preserve"> </w:t>
            </w:r>
          </w:p>
        </w:tc>
      </w:tr>
    </w:tbl>
    <w:p w:rsidR="00000000" w:rsidP="00C543D9" w14:paraId="5548A3DE" w14:textId="77777777">
      <w:pPr>
        <w:ind w:right="-425"/>
      </w:pPr>
    </w:p>
    <w:sectPr w:rsidSect="007C68CB">
      <w:headerReference w:type="even" r:id="rId4"/>
      <w:headerReference w:type="default" r:id="rId5"/>
      <w:pgSz w:w="11906" w:h="16838"/>
      <w:pgMar w:top="1701" w:right="1418" w:bottom="567" w:left="1134" w:header="709" w:footer="29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AF0844" w:rsidP="0073108A" w14:paraId="507C3290" w14:textId="77777777">
    <w:pPr>
      <w:pStyle w:val="Header"/>
    </w:pPr>
  </w:p>
  <w:p w:rsidR="00000000" w:rsidRPr="0073108A" w:rsidP="0073108A" w14:paraId="47ACAC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8C"/>
    <w:rsid w:val="00023DC4"/>
    <w:rsid w:val="00142483"/>
    <w:rsid w:val="0020166B"/>
    <w:rsid w:val="00206406"/>
    <w:rsid w:val="00242762"/>
    <w:rsid w:val="002661D5"/>
    <w:rsid w:val="002E7876"/>
    <w:rsid w:val="0031581A"/>
    <w:rsid w:val="0038340A"/>
    <w:rsid w:val="00394AD0"/>
    <w:rsid w:val="003F6F7B"/>
    <w:rsid w:val="00426B1E"/>
    <w:rsid w:val="004865EE"/>
    <w:rsid w:val="00487EC1"/>
    <w:rsid w:val="004A3E7A"/>
    <w:rsid w:val="004D0DD4"/>
    <w:rsid w:val="004F6723"/>
    <w:rsid w:val="00500D68"/>
    <w:rsid w:val="0052267D"/>
    <w:rsid w:val="005352D2"/>
    <w:rsid w:val="00565DFB"/>
    <w:rsid w:val="00584C6E"/>
    <w:rsid w:val="005B54F9"/>
    <w:rsid w:val="00645C5F"/>
    <w:rsid w:val="00666C2D"/>
    <w:rsid w:val="006C00F3"/>
    <w:rsid w:val="006F55A0"/>
    <w:rsid w:val="0073108A"/>
    <w:rsid w:val="00737828"/>
    <w:rsid w:val="00822EC8"/>
    <w:rsid w:val="00845B15"/>
    <w:rsid w:val="00870765"/>
    <w:rsid w:val="008D4D22"/>
    <w:rsid w:val="00941532"/>
    <w:rsid w:val="00944697"/>
    <w:rsid w:val="009715E4"/>
    <w:rsid w:val="00981B7A"/>
    <w:rsid w:val="00986C0B"/>
    <w:rsid w:val="00995F29"/>
    <w:rsid w:val="0099602F"/>
    <w:rsid w:val="009D018D"/>
    <w:rsid w:val="00A375C7"/>
    <w:rsid w:val="00A545E4"/>
    <w:rsid w:val="00A77B3E"/>
    <w:rsid w:val="00AB0742"/>
    <w:rsid w:val="00AF0844"/>
    <w:rsid w:val="00B0066E"/>
    <w:rsid w:val="00B02895"/>
    <w:rsid w:val="00B817E3"/>
    <w:rsid w:val="00BE3CA1"/>
    <w:rsid w:val="00C00798"/>
    <w:rsid w:val="00C06214"/>
    <w:rsid w:val="00C4648C"/>
    <w:rsid w:val="00C543D9"/>
    <w:rsid w:val="00CC46B3"/>
    <w:rsid w:val="00D359ED"/>
    <w:rsid w:val="00D558BC"/>
    <w:rsid w:val="00D860BA"/>
    <w:rsid w:val="00DB59F2"/>
    <w:rsid w:val="00E0273E"/>
    <w:rsid w:val="00E93D65"/>
    <w:rsid w:val="00EB765B"/>
    <w:rsid w:val="00EE1B08"/>
    <w:rsid w:val="00F0355B"/>
    <w:rsid w:val="00F0759F"/>
    <w:rsid w:val="00F51F13"/>
    <w:rsid w:val="00F61E65"/>
    <w:rsid w:val="00F830A8"/>
    <w:rsid w:val="00F953B0"/>
    <w:rsid w:val="00FA66FE"/>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D685CC"/>
  <w15:docId w15:val="{BE474163-E279-4851-8296-5985BA0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2EC8"/>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5352D2"/>
    <w:pPr>
      <w:tabs>
        <w:tab w:val="center" w:pos="4536"/>
        <w:tab w:val="right" w:pos="9072"/>
      </w:tabs>
    </w:pPr>
    <w:rPr>
      <w:szCs w:val="20"/>
    </w:rPr>
  </w:style>
  <w:style w:type="character" w:customStyle="1" w:styleId="KoptekstChar">
    <w:name w:val="Koptekst Char"/>
    <w:basedOn w:val="DefaultParagraphFont"/>
    <w:link w:val="Header"/>
    <w:rsid w:val="005352D2"/>
    <w:rPr>
      <w:sz w:val="20"/>
      <w:szCs w:val="20"/>
    </w:rPr>
  </w:style>
  <w:style w:type="paragraph" w:styleId="Footer">
    <w:name w:val="footer"/>
    <w:basedOn w:val="Normal"/>
    <w:link w:val="VoettekstChar"/>
    <w:rsid w:val="005352D2"/>
    <w:pPr>
      <w:tabs>
        <w:tab w:val="center" w:pos="4536"/>
        <w:tab w:val="right" w:pos="9072"/>
      </w:tabs>
    </w:pPr>
    <w:rPr>
      <w:szCs w:val="20"/>
    </w:rPr>
  </w:style>
  <w:style w:type="character" w:customStyle="1" w:styleId="VoettekstChar">
    <w:name w:val="Voettekst Char"/>
    <w:basedOn w:val="DefaultParagraphFont"/>
    <w:link w:val="Footer"/>
    <w:rsid w:val="005352D2"/>
    <w:rPr>
      <w:sz w:val="20"/>
      <w:szCs w:val="20"/>
    </w:rPr>
  </w:style>
  <w:style w:type="character" w:styleId="Hyperlink">
    <w:name w:val="Hyperlink"/>
    <w:basedOn w:val="DefaultParagraphFont"/>
    <w:rsid w:val="005352D2"/>
    <w:rPr>
      <w:color w:val="0000FF" w:themeColor="hyperlink"/>
      <w:u w:val="single"/>
    </w:rPr>
  </w:style>
  <w:style w:type="paragraph" w:customStyle="1" w:styleId="Normal10">
    <w:name w:val="Normal_1_0"/>
    <w:basedOn w:val="Normal"/>
    <w:rsid w:val="005352D2"/>
    <w:rPr>
      <w:rFonts w:eastAsiaTheme="minorHAnsi"/>
      <w:szCs w:val="20"/>
    </w:rPr>
  </w:style>
  <w:style w:type="paragraph" w:styleId="BalloonText">
    <w:name w:val="Balloon Text"/>
    <w:basedOn w:val="Normal"/>
    <w:link w:val="BallontekstChar"/>
    <w:rsid w:val="00C543D9"/>
    <w:rPr>
      <w:rFonts w:ascii="Segoe UI" w:hAnsi="Segoe UI" w:cs="Segoe UI"/>
      <w:sz w:val="18"/>
      <w:szCs w:val="18"/>
    </w:rPr>
  </w:style>
  <w:style w:type="character" w:customStyle="1" w:styleId="BallontekstChar">
    <w:name w:val="Ballontekst Char"/>
    <w:basedOn w:val="DefaultParagraphFont"/>
    <w:link w:val="BalloonText"/>
    <w:rsid w:val="00C54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1505</Words>
  <Characters>8278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50</cp:revision>
  <dcterms:created xsi:type="dcterms:W3CDTF">2017-10-13T13:05:00Z</dcterms:created>
  <dcterms:modified xsi:type="dcterms:W3CDTF">2024-05-28T18:51:00Z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